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F80943" w:rsidRPr="00F80943" w:rsidP="00F80943">
      <w:pPr>
        <w:spacing w:before="100" w:beforeAutospacing="1" w:after="100" w:afterAutospacing="1" w:line="480" w:lineRule="auto"/>
        <w:rPr>
          <w:rFonts w:ascii="Times New Roman" w:hAnsi="Times New Roman" w:cs="Times New Roman"/>
          <w:b/>
          <w:sz w:val="24"/>
          <w:szCs w:val="24"/>
        </w:rPr>
      </w:pPr>
    </w:p>
    <w:p w:rsidR="00F80943" w:rsidRPr="00F80943" w:rsidP="00F80943">
      <w:pPr>
        <w:spacing w:before="100" w:beforeAutospacing="1" w:after="100" w:afterAutospacing="1" w:line="480" w:lineRule="auto"/>
        <w:rPr>
          <w:rFonts w:ascii="Times New Roman" w:hAnsi="Times New Roman" w:cs="Times New Roman"/>
          <w:b/>
          <w:sz w:val="24"/>
          <w:szCs w:val="24"/>
        </w:rPr>
      </w:pPr>
    </w:p>
    <w:p w:rsidR="00F80943" w:rsidRPr="00F80943" w:rsidP="00F80943">
      <w:pPr>
        <w:spacing w:before="100" w:beforeAutospacing="1" w:after="100" w:afterAutospacing="1" w:line="480" w:lineRule="auto"/>
        <w:rPr>
          <w:rFonts w:ascii="Times New Roman" w:hAnsi="Times New Roman" w:cs="Times New Roman"/>
          <w:b/>
          <w:sz w:val="24"/>
          <w:szCs w:val="24"/>
        </w:rPr>
      </w:pPr>
    </w:p>
    <w:p w:rsidR="00F80943" w:rsidRPr="00F80943" w:rsidP="00F80943">
      <w:pPr>
        <w:spacing w:before="100" w:beforeAutospacing="1" w:after="100" w:afterAutospacing="1" w:line="480" w:lineRule="auto"/>
        <w:rPr>
          <w:rFonts w:ascii="Times New Roman" w:hAnsi="Times New Roman" w:cs="Times New Roman"/>
          <w:b/>
          <w:sz w:val="24"/>
          <w:szCs w:val="24"/>
        </w:rPr>
      </w:pPr>
    </w:p>
    <w:p w:rsidR="00F80943" w:rsidRPr="00F80943" w:rsidP="00F80943">
      <w:pPr>
        <w:spacing w:before="100" w:beforeAutospacing="1" w:after="100" w:afterAutospacing="1" w:line="480" w:lineRule="auto"/>
        <w:rPr>
          <w:rFonts w:ascii="Times New Roman" w:hAnsi="Times New Roman" w:cs="Times New Roman"/>
          <w:b/>
          <w:sz w:val="24"/>
          <w:szCs w:val="24"/>
        </w:rPr>
      </w:pPr>
    </w:p>
    <w:p w:rsidR="00F80943"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sz w:val="24"/>
          <w:szCs w:val="24"/>
        </w:rPr>
        <w:t>Comparison of Nursing Theories</w:t>
      </w:r>
      <w:r w:rsidRPr="00F80943">
        <w:rPr>
          <w:rFonts w:ascii="Times New Roman" w:hAnsi="Times New Roman" w:cs="Times New Roman"/>
          <w:b/>
          <w:sz w:val="24"/>
          <w:szCs w:val="24"/>
        </w:rPr>
        <w:t xml:space="preserve"> </w:t>
      </w:r>
    </w:p>
    <w:p w:rsidR="00F80943" w:rsidRPr="00F80943" w:rsidP="00F80943">
      <w:pPr>
        <w:spacing w:before="100" w:beforeAutospacing="1" w:after="100" w:afterAutospacing="1" w:line="480" w:lineRule="auto"/>
        <w:jc w:val="center"/>
        <w:rPr>
          <w:rFonts w:ascii="Times New Roman" w:hAnsi="Times New Roman" w:cs="Times New Roman"/>
          <w:sz w:val="24"/>
          <w:szCs w:val="24"/>
        </w:rPr>
      </w:pPr>
      <w:r w:rsidRPr="00F80943">
        <w:rPr>
          <w:rFonts w:ascii="Times New Roman" w:hAnsi="Times New Roman" w:cs="Times New Roman"/>
          <w:sz w:val="24"/>
          <w:szCs w:val="24"/>
        </w:rPr>
        <w:t>Name of Student</w:t>
      </w:r>
    </w:p>
    <w:p w:rsidR="00F80943" w:rsidRPr="00F80943" w:rsidP="00F80943">
      <w:pPr>
        <w:spacing w:before="100" w:beforeAutospacing="1" w:after="100" w:afterAutospacing="1" w:line="480" w:lineRule="auto"/>
        <w:jc w:val="center"/>
        <w:rPr>
          <w:rFonts w:ascii="Times New Roman" w:hAnsi="Times New Roman" w:cs="Times New Roman"/>
          <w:sz w:val="24"/>
          <w:szCs w:val="24"/>
        </w:rPr>
      </w:pPr>
      <w:r w:rsidRPr="00F80943">
        <w:rPr>
          <w:rFonts w:ascii="Times New Roman" w:hAnsi="Times New Roman" w:cs="Times New Roman"/>
          <w:sz w:val="24"/>
          <w:szCs w:val="24"/>
        </w:rPr>
        <w:t>Name of Institution</w:t>
      </w:r>
    </w:p>
    <w:p w:rsidR="00F80943" w:rsidRPr="00F80943" w:rsidP="00F80943">
      <w:pPr>
        <w:spacing w:before="100" w:beforeAutospacing="1" w:after="100" w:afterAutospacing="1" w:line="480" w:lineRule="auto"/>
        <w:jc w:val="center"/>
        <w:rPr>
          <w:rFonts w:ascii="Times New Roman" w:hAnsi="Times New Roman" w:cs="Times New Roman"/>
          <w:sz w:val="24"/>
          <w:szCs w:val="24"/>
        </w:rPr>
      </w:pPr>
      <w:r w:rsidRPr="00F80943">
        <w:rPr>
          <w:rFonts w:ascii="Times New Roman" w:hAnsi="Times New Roman" w:cs="Times New Roman"/>
          <w:sz w:val="24"/>
          <w:szCs w:val="24"/>
        </w:rPr>
        <w:t>Date</w:t>
      </w:r>
      <w:r w:rsidRPr="00F80943">
        <w:rPr>
          <w:rFonts w:ascii="Times New Roman" w:hAnsi="Times New Roman" w:cs="Times New Roman"/>
          <w:sz w:val="24"/>
          <w:szCs w:val="24"/>
        </w:rPr>
        <w:br w:type="page"/>
      </w:r>
    </w:p>
    <w:p w:rsidR="005723DE"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The principles underlying the guidelines for nurses' operations in prescribing, describing, and explaining their practice are sourced from nursing theories. Therefore, the methods have fundamental underpinnings in structuring the way nurses accumulate more knowledge and experience.</w:t>
      </w:r>
      <w:r w:rsidRPr="00F80943">
        <w:rPr>
          <w:rFonts w:ascii="Times New Roman" w:hAnsi="Times New Roman" w:cs="Times New Roman"/>
          <w:sz w:val="24"/>
          <w:szCs w:val="24"/>
        </w:rPr>
        <w:t xml:space="preserve"> Such aspects highlight the guidelines responsible for stipulating relationships that nurses have and should have with patients (Masters 2014). </w:t>
      </w:r>
      <w:r w:rsidRPr="00F80943">
        <w:rPr>
          <w:rFonts w:ascii="Times New Roman" w:hAnsi="Times New Roman" w:cs="Times New Roman"/>
          <w:sz w:val="24"/>
          <w:szCs w:val="24"/>
        </w:rPr>
        <w:t xml:space="preserve">Furthermore, they also prove foundational in ascertaining the future of nursing. </w:t>
      </w:r>
      <w:r w:rsidRPr="00F80943" w:rsidR="00BD2C5A">
        <w:rPr>
          <w:rFonts w:ascii="Times New Roman" w:hAnsi="Times New Roman" w:cs="Times New Roman"/>
          <w:sz w:val="24"/>
          <w:szCs w:val="24"/>
        </w:rPr>
        <w:t xml:space="preserve">An additional benefit of some nursing theories applies to nurse practitioners in handling various situations and incidences in practice. </w:t>
      </w:r>
      <w:r w:rsidRPr="00F80943">
        <w:rPr>
          <w:rFonts w:ascii="Times New Roman" w:hAnsi="Times New Roman" w:cs="Times New Roman"/>
          <w:sz w:val="24"/>
          <w:szCs w:val="24"/>
        </w:rPr>
        <w:t>The context of this paper will evaluate and compare two different approaches. 
</w:t>
      </w:r>
    </w:p>
    <w:p w:rsidR="007C7572"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A recognizable division in the model and application in nursing is grand and middle-range theories. The former identify highly complex scope ideas and are the products of great thinkers. Their presentation is abstract in their explanation of global concepts and makes use of insightful appraisal in the ideologies for existing principles in nursing practice. The scope of middle range theories is narrow in comparison to grand methods. They are effectively an integral point of connection between nursing practice and the grand theories. </w:t>
      </w:r>
      <w:r w:rsidRPr="00F80943" w:rsidR="00953A8B">
        <w:rPr>
          <w:rFonts w:ascii="Times New Roman" w:hAnsi="Times New Roman" w:cs="Times New Roman"/>
          <w:sz w:val="24"/>
          <w:szCs w:val="24"/>
        </w:rPr>
        <w:t>The middle-range approaches offer ideas at reduced abstract levels (Carr, 2014). The primary goal of this essay will take 'Orem's Theory' as a grand theory and compare it to 'Uncertainty of Illness' as the middle-range theory.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Overview of Orem’s Theory</w:t>
      </w:r>
    </w:p>
    <w:p w:rsidR="00953A8B"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Orem's theory is the product of Dorothea Orem, and it presents the argument in favor of the independence of the patient, regardless of their illness (O'Shaughnessy, 2014). Today, the theory is common practice, particularly in home health</w:t>
      </w:r>
      <w:r w:rsidRPr="00F80943" w:rsidR="0002426B">
        <w:rPr>
          <w:rFonts w:ascii="Times New Roman" w:eastAsia="Calibri" w:hAnsi="Times New Roman" w:cs="Times New Roman"/>
          <w:sz w:val="24"/>
          <w:szCs w:val="24"/>
        </w:rPr>
        <w:t xml:space="preserve"> (</w:t>
      </w:r>
      <w:r w:rsidRPr="00F80943" w:rsidR="0002426B">
        <w:rPr>
          <w:rFonts w:ascii="Times New Roman" w:eastAsia="Calibri" w:hAnsi="Times New Roman" w:cs="Times New Roman"/>
          <w:sz w:val="24"/>
          <w:szCs w:val="24"/>
        </w:rPr>
        <w:t>Alligood</w:t>
      </w:r>
      <w:r w:rsidRPr="00F80943" w:rsidR="0002426B">
        <w:rPr>
          <w:rFonts w:ascii="Times New Roman" w:eastAsia="Calibri" w:hAnsi="Times New Roman" w:cs="Times New Roman"/>
          <w:sz w:val="24"/>
          <w:szCs w:val="24"/>
        </w:rPr>
        <w:t xml:space="preserve">, 2014). The emphasis </w:t>
      </w:r>
      <w:r w:rsidRPr="00F80943" w:rsidR="0002426B">
        <w:rPr>
          <w:rFonts w:ascii="Times New Roman" w:eastAsia="Calibri" w:hAnsi="Times New Roman" w:cs="Times New Roman"/>
          <w:sz w:val="24"/>
          <w:szCs w:val="24"/>
        </w:rPr>
        <w:t>that the model has on self-care makes it vital because it allows patient involvement in managing their care plan</w:t>
      </w:r>
      <w:r w:rsidRPr="00F80943">
        <w:rPr>
          <w:rFonts w:ascii="Times New Roman" w:eastAsia="Calibri" w:hAnsi="Times New Roman" w:cs="Times New Roman"/>
          <w:sz w:val="24"/>
          <w:szCs w:val="24"/>
        </w:rPr>
        <w:t xml:space="preserve">. </w:t>
      </w:r>
      <w:r w:rsidRPr="00F80943" w:rsidR="0002426B">
        <w:rPr>
          <w:rFonts w:ascii="Times New Roman" w:eastAsia="Calibri" w:hAnsi="Times New Roman" w:cs="Times New Roman"/>
          <w:sz w:val="24"/>
          <w:szCs w:val="24"/>
        </w:rPr>
        <w:t xml:space="preserve">Additionally, it does not contradict the primary duty of nurses in preserving the lives, health, and well-being of the patients. </w:t>
      </w:r>
      <w:r w:rsidRPr="00F80943" w:rsidR="00F95313">
        <w:rPr>
          <w:rFonts w:ascii="Times New Roman" w:eastAsia="Calibri" w:hAnsi="Times New Roman" w:cs="Times New Roman"/>
          <w:sz w:val="24"/>
          <w:szCs w:val="24"/>
        </w:rPr>
        <w:t>Dorothea Orem perceived self-care as fundamental for the patients to enhance their self-esteem, confidence, and a positive attitude towards treatment. Orem's experience in nursing practice serving as a surgical room nurse, secluded duty room nurse, and hospital team nurse adds to the value of her logic. The theory reminds the patients of their health needs and motivates them towards achieving the same.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Overview Uncertainty of Illness</w:t>
      </w:r>
      <w:r w:rsidRPr="00F80943" w:rsidR="00F95313">
        <w:rPr>
          <w:rFonts w:ascii="Times New Roman" w:hAnsi="Times New Roman" w:cs="Times New Roman"/>
          <w:b/>
          <w:sz w:val="24"/>
          <w:szCs w:val="24"/>
        </w:rPr>
        <w:t xml:space="preserve"> Theory</w:t>
      </w:r>
    </w:p>
    <w:p w:rsidR="00F95313"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main focus of uncertainty of illness theory is in the description of intricate and diverse elements revolving around assigning elucidation to disease-related aspects. Merle </w:t>
      </w:r>
      <w:r w:rsidRPr="00F80943">
        <w:rPr>
          <w:rFonts w:ascii="Times New Roman" w:hAnsi="Times New Roman" w:cs="Times New Roman"/>
          <w:sz w:val="24"/>
          <w:szCs w:val="24"/>
        </w:rPr>
        <w:t>Mishel</w:t>
      </w:r>
      <w:r w:rsidRPr="00F80943">
        <w:rPr>
          <w:rFonts w:ascii="Times New Roman" w:hAnsi="Times New Roman" w:cs="Times New Roman"/>
          <w:sz w:val="24"/>
          <w:szCs w:val="24"/>
        </w:rPr>
        <w:t xml:space="preserve"> developed the theory, and its adoption today is during diagnosis. The clarity in definition assigned to the diagnostic procedures </w:t>
      </w:r>
      <w:r w:rsidRPr="00F80943" w:rsidR="009771C0">
        <w:rPr>
          <w:rFonts w:ascii="Times New Roman" w:hAnsi="Times New Roman" w:cs="Times New Roman"/>
          <w:sz w:val="24"/>
          <w:szCs w:val="24"/>
        </w:rPr>
        <w:t>ensures accuracy in clinically determining and treating an illness</w:t>
      </w:r>
      <w:r w:rsidRPr="00F80943" w:rsidR="00AD2DE1">
        <w:rPr>
          <w:rFonts w:ascii="Times New Roman" w:hAnsi="Times New Roman" w:cs="Times New Roman"/>
          <w:sz w:val="24"/>
          <w:szCs w:val="24"/>
        </w:rPr>
        <w:t xml:space="preserve"> (</w:t>
      </w:r>
      <w:r w:rsidRPr="00F80943" w:rsidR="00AD2DE1">
        <w:rPr>
          <w:rFonts w:ascii="Times New Roman" w:hAnsi="Times New Roman" w:cs="Times New Roman"/>
          <w:sz w:val="24"/>
          <w:szCs w:val="24"/>
        </w:rPr>
        <w:t>Orom</w:t>
      </w:r>
      <w:r w:rsidRPr="00F80943" w:rsidR="00AD2DE1">
        <w:rPr>
          <w:rFonts w:ascii="Times New Roman" w:hAnsi="Times New Roman" w:cs="Times New Roman"/>
          <w:sz w:val="24"/>
          <w:szCs w:val="24"/>
        </w:rPr>
        <w:t>, 2020)</w:t>
      </w:r>
      <w:r w:rsidRPr="00F80943" w:rsidR="009771C0">
        <w:rPr>
          <w:rFonts w:ascii="Times New Roman" w:hAnsi="Times New Roman" w:cs="Times New Roman"/>
          <w:sz w:val="24"/>
          <w:szCs w:val="24"/>
        </w:rPr>
        <w:t xml:space="preserve">. The diagnosis of patients proves to be a critical stage in healthcare and is influential in the prevention of the onset of most diseases. Therefore, it is essential for healthcare professionals to </w:t>
      </w:r>
      <w:r w:rsidRPr="00F80943" w:rsidR="00895AC7">
        <w:rPr>
          <w:rFonts w:ascii="Times New Roman" w:hAnsi="Times New Roman" w:cs="Times New Roman"/>
          <w:sz w:val="24"/>
          <w:szCs w:val="24"/>
        </w:rPr>
        <w:t>pay significant attention to diagnosis and offer emotional support as a tactic for improving the recovery rates of patients. The theory of uncertainty of illness has considerable influence on the patient's cognitive capacity and the structure of the care providers, which consequentially shape the perception of the disease. The theory has significant impacts in determining the potential for an increase or decrease in the severity of a patient's health.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Background Information</w:t>
      </w:r>
    </w:p>
    <w:p w:rsidR="00895AC7"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 xml:space="preserve">The presentation of Orem's theory encompasses three interconnected approaches; the theory of self-care, theory of self-care deficit, and nursing system theory </w:t>
      </w:r>
      <w:r w:rsidRPr="00F80943">
        <w:rPr>
          <w:rFonts w:ascii="Times New Roman" w:eastAsia="Calibri" w:hAnsi="Times New Roman" w:cs="Times New Roman"/>
          <w:sz w:val="24"/>
          <w:szCs w:val="24"/>
        </w:rPr>
        <w:t>Queirós</w:t>
      </w:r>
      <w:r w:rsidRPr="00F80943">
        <w:rPr>
          <w:rFonts w:ascii="Times New Roman" w:eastAsia="Calibri" w:hAnsi="Times New Roman" w:cs="Times New Roman"/>
          <w:sz w:val="24"/>
          <w:szCs w:val="24"/>
        </w:rPr>
        <w:t xml:space="preserve"> et al., 2014). The three work alongside each other in their objective of assuring that the patient gains and maintains independence, and consequentially improves the potential for them to regain their wellness. Dorothea Orem consistently argued for lack of support in her idea, despite her complex integration of diverse theories to be applicable in nursing. In her theory, Dorothea emphasizes involving the patients as a tactic of maintaining good health and improving wellness. 
</w:t>
      </w:r>
    </w:p>
    <w:p w:rsidR="00334536"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 xml:space="preserve">The </w:t>
      </w:r>
      <w:r w:rsidRPr="00F80943" w:rsidR="006121EA">
        <w:rPr>
          <w:rFonts w:ascii="Times New Roman" w:eastAsia="Calibri" w:hAnsi="Times New Roman" w:cs="Times New Roman"/>
          <w:sz w:val="24"/>
          <w:szCs w:val="24"/>
        </w:rPr>
        <w:t xml:space="preserve">presentation of the </w:t>
      </w:r>
      <w:r w:rsidRPr="00F80943">
        <w:rPr>
          <w:rFonts w:ascii="Times New Roman" w:eastAsia="Calibri" w:hAnsi="Times New Roman" w:cs="Times New Roman"/>
          <w:sz w:val="24"/>
          <w:szCs w:val="24"/>
        </w:rPr>
        <w:t xml:space="preserve">uncertainty of illness theory </w:t>
      </w:r>
      <w:r w:rsidRPr="00F80943" w:rsidR="006121EA">
        <w:rPr>
          <w:rFonts w:ascii="Times New Roman" w:eastAsia="Calibri" w:hAnsi="Times New Roman" w:cs="Times New Roman"/>
          <w:sz w:val="24"/>
          <w:szCs w:val="24"/>
        </w:rPr>
        <w:t xml:space="preserve">is from both theoretical and empirical perspectives. Merle </w:t>
      </w:r>
      <w:r w:rsidRPr="00F80943" w:rsidR="006121EA">
        <w:rPr>
          <w:rFonts w:ascii="Times New Roman" w:eastAsia="Calibri" w:hAnsi="Times New Roman" w:cs="Times New Roman"/>
          <w:sz w:val="24"/>
          <w:szCs w:val="24"/>
        </w:rPr>
        <w:t>Mishel</w:t>
      </w:r>
      <w:r w:rsidRPr="00F80943" w:rsidR="006121EA">
        <w:rPr>
          <w:rFonts w:ascii="Times New Roman" w:eastAsia="Calibri" w:hAnsi="Times New Roman" w:cs="Times New Roman"/>
          <w:sz w:val="24"/>
          <w:szCs w:val="24"/>
        </w:rPr>
        <w:t xml:space="preserve"> developed it as a means of explaining the incapability of constructing meaning by people in their portrayal and definition of illness events. The patients are under due stress during diagnosis and influence the comprehension of their respective situations. It is the duty of the healthcare professional to provide patient education. It is essential that the information is concise and clear and presented with confidence regarding the illness</w:t>
      </w:r>
      <w:r w:rsidRPr="00F80943" w:rsidR="00787CC4">
        <w:rPr>
          <w:rFonts w:ascii="Times New Roman" w:eastAsia="Calibri" w:hAnsi="Times New Roman" w:cs="Times New Roman"/>
          <w:sz w:val="24"/>
          <w:szCs w:val="24"/>
        </w:rPr>
        <w:t xml:space="preserve"> (Mendes, 2020)</w:t>
      </w:r>
      <w:r w:rsidRPr="00F80943" w:rsidR="006121EA">
        <w:rPr>
          <w:rFonts w:ascii="Times New Roman" w:eastAsia="Calibri" w:hAnsi="Times New Roman" w:cs="Times New Roman"/>
          <w:sz w:val="24"/>
          <w:szCs w:val="24"/>
        </w:rPr>
        <w:t xml:space="preserve">. </w:t>
      </w:r>
      <w:r w:rsidRPr="00F80943" w:rsidR="004B15F2">
        <w:rPr>
          <w:rFonts w:ascii="Times New Roman" w:eastAsia="Calibri" w:hAnsi="Times New Roman" w:cs="Times New Roman"/>
          <w:sz w:val="24"/>
          <w:szCs w:val="24"/>
        </w:rPr>
        <w:t xml:space="preserve">The theory has underpinnings dating back to works y F. Davis in 1960. Davis brought about ideas relating to ambiguity and the psychological state of the patient. </w:t>
      </w:r>
      <w:r w:rsidRPr="00F80943" w:rsidR="004B15F2">
        <w:rPr>
          <w:rFonts w:ascii="Times New Roman" w:eastAsia="Calibri" w:hAnsi="Times New Roman" w:cs="Times New Roman"/>
          <w:sz w:val="24"/>
          <w:szCs w:val="24"/>
        </w:rPr>
        <w:t>Mishel</w:t>
      </w:r>
      <w:r w:rsidRPr="00F80943" w:rsidR="004B15F2">
        <w:rPr>
          <w:rFonts w:ascii="Times New Roman" w:eastAsia="Calibri" w:hAnsi="Times New Roman" w:cs="Times New Roman"/>
          <w:sz w:val="24"/>
          <w:szCs w:val="24"/>
        </w:rPr>
        <w:t xml:space="preserve"> adopted other models in developing the uncertainty of illness theory and used the rest to improve comprehension and provide solutions to the challenges presented.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Concepts of Orem’s Theory</w:t>
      </w:r>
    </w:p>
    <w:p w:rsidR="007C7572"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eastAsia="Calibri" w:hAnsi="Times New Roman" w:cs="Times New Roman"/>
          <w:sz w:val="24"/>
          <w:szCs w:val="24"/>
        </w:rPr>
        <w:t xml:space="preserve">There are several concepts relevant to Orem's theory, and their integration presents the argument for how vital self-care is in nursing. Patient involvement enhances the maintenance of healthy lives, with insights from either party </w:t>
      </w:r>
      <w:r w:rsidRPr="00F80943" w:rsidR="00D409AA">
        <w:rPr>
          <w:rFonts w:ascii="Times New Roman" w:eastAsia="Calibri" w:hAnsi="Times New Roman" w:cs="Times New Roman"/>
          <w:sz w:val="24"/>
          <w:szCs w:val="24"/>
        </w:rPr>
        <w:t xml:space="preserve">serving as essential in </w:t>
      </w:r>
      <w:r w:rsidRPr="00F80943" w:rsidR="00D409AA">
        <w:rPr>
          <w:rFonts w:ascii="Times New Roman" w:eastAsia="Calibri" w:hAnsi="Times New Roman" w:cs="Times New Roman"/>
          <w:sz w:val="24"/>
          <w:szCs w:val="24"/>
        </w:rPr>
        <w:t xml:space="preserve">healthcare. </w:t>
      </w:r>
      <w:r w:rsidRPr="00F80943" w:rsidR="00977EF3">
        <w:rPr>
          <w:rFonts w:ascii="Times New Roman" w:eastAsia="Calibri" w:hAnsi="Times New Roman" w:cs="Times New Roman"/>
          <w:sz w:val="24"/>
          <w:szCs w:val="24"/>
        </w:rPr>
        <w:t>The relationship and trust formed by nurses and patients provide grounds for evaluation of the effectiveness of self-care. To that end, nurses try to maintain positive relationships with the patients' population and cooperate with them to ensure that the application and adoption of self-care are practical. Such a structure defines the compensatory system (</w:t>
      </w:r>
      <w:r w:rsidRPr="00F80943" w:rsidR="00977EF3">
        <w:rPr>
          <w:rFonts w:ascii="Times New Roman" w:eastAsia="Calibri" w:hAnsi="Times New Roman" w:cs="Times New Roman"/>
          <w:sz w:val="24"/>
          <w:szCs w:val="24"/>
        </w:rPr>
        <w:t>Queirós</w:t>
      </w:r>
      <w:r w:rsidRPr="00F80943" w:rsidR="00977EF3">
        <w:rPr>
          <w:rFonts w:ascii="Times New Roman" w:eastAsia="Calibri" w:hAnsi="Times New Roman" w:cs="Times New Roman"/>
          <w:sz w:val="24"/>
          <w:szCs w:val="24"/>
        </w:rPr>
        <w:t xml:space="preserve"> et al., 2014). Orem's theory also includes concepts of compassionate system education. The idea highlights teaching and offering inspiration to patients, intending to influence the effectiveness of self-care positively.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 xml:space="preserve">Concepts of </w:t>
      </w:r>
      <w:r w:rsidRPr="00F80943">
        <w:rPr>
          <w:rFonts w:ascii="Times New Roman" w:hAnsi="Times New Roman" w:cs="Times New Roman"/>
          <w:b/>
          <w:sz w:val="24"/>
          <w:szCs w:val="24"/>
        </w:rPr>
        <w:t>Mishel’s</w:t>
      </w:r>
      <w:r w:rsidRPr="00F80943">
        <w:rPr>
          <w:rFonts w:ascii="Times New Roman" w:hAnsi="Times New Roman" w:cs="Times New Roman"/>
          <w:b/>
          <w:sz w:val="24"/>
          <w:szCs w:val="24"/>
        </w:rPr>
        <w:t xml:space="preserve"> Uncertainty of Illness</w:t>
      </w:r>
    </w:p>
    <w:p w:rsidR="00977EF3"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Three critical concepts formulate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uncertainty of illness; coping with change, antecedents of uncertainty, and appraisal of uncertainty. Antecedents </w:t>
      </w:r>
      <w:r w:rsidRPr="00F80943" w:rsidR="00996217">
        <w:rPr>
          <w:rFonts w:ascii="Times New Roman" w:hAnsi="Times New Roman" w:cs="Times New Roman"/>
          <w:sz w:val="24"/>
          <w:szCs w:val="24"/>
        </w:rPr>
        <w:t>of uncertainty of illness define the stimulus which the patients have towards the disease that consequentially forms their point of view. The concept follows the stimuli frame, which has three components; event congruence, symptom pattern, and even familiarity. Event congruence alludes to the compatibility of the relevant expected and experienced illness events</w:t>
      </w:r>
      <w:r w:rsidRPr="00F80943" w:rsidR="000515D5">
        <w:rPr>
          <w:rFonts w:ascii="Times New Roman" w:hAnsi="Times New Roman" w:cs="Times New Roman"/>
          <w:sz w:val="24"/>
          <w:szCs w:val="24"/>
        </w:rPr>
        <w:t>. Events familiarity defines an illness based on the repetitiveness of situations, whereas symptom patterns directly imply symptoms on various levels.
</w:t>
      </w:r>
    </w:p>
    <w:p w:rsidR="000515D5"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second relevant concept is the appraisal of uncertainty, which alludes to policies and protocols put in place to place value on the level of uncertainty of illness. The principal focus of the concept is in stipulating an appropriate approach to reduce risk in diagnosis. Appraisal of uncertainty also encompasses relevant events in the perception of the illness that have underlying consequences on whether the clarification of information is correct. Coping with change presents the final concept whose principal focus is in tactics relevant in </w:t>
      </w:r>
      <w:r w:rsidRPr="00F80943">
        <w:rPr>
          <w:rFonts w:ascii="Times New Roman" w:hAnsi="Times New Roman" w:cs="Times New Roman"/>
          <w:sz w:val="24"/>
          <w:szCs w:val="24"/>
        </w:rPr>
        <w:t>reducing the levels of illness uncertainty during diagnosis and treatment. The logic follows the pattern that lack of identification or improvement leads to no change, which may lead to a lack of detection of the illness.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Philosophical Underpinnings of Orem’s Theory</w:t>
      </w:r>
    </w:p>
    <w:p w:rsidR="00653E47"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The aspects considered necessities for self-care also improve the overall functioning and development of human beings (</w:t>
      </w:r>
      <w:r w:rsidRPr="00F80943">
        <w:rPr>
          <w:rFonts w:ascii="Times New Roman" w:eastAsia="Calibri" w:hAnsi="Times New Roman" w:cs="Times New Roman"/>
          <w:sz w:val="24"/>
          <w:szCs w:val="24"/>
        </w:rPr>
        <w:t>Queirós</w:t>
      </w:r>
      <w:r w:rsidRPr="00F80943">
        <w:rPr>
          <w:rFonts w:ascii="Times New Roman" w:eastAsia="Calibri" w:hAnsi="Times New Roman" w:cs="Times New Roman"/>
          <w:sz w:val="24"/>
          <w:szCs w:val="24"/>
        </w:rPr>
        <w:t xml:space="preserve"> et al., 2014). Such requisites include but are not limited to; a balance between rest and activities, the balance between human interaction and deterrence, active excretion and elimination processes, enough food intake, and adequate intake of water. It is imperative to maintain such requisites to be maintained for sufficient levels of self-care. Such necessities also prove influential in improving the health of individuals throughout their lives. One model integrated into Orem's theory is self-care deficit theory, which determines the need to depend on others when one is not competent to conduct their self-care. Orem's theory provides a concept in nursing that favors the independence of the patient. Additionally, nurses also influence personal development through the theory by providing emotional and psychological support to the patients.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 xml:space="preserve">Philosophical Underpinnings of </w:t>
      </w:r>
      <w:r w:rsidRPr="00F80943">
        <w:rPr>
          <w:rFonts w:ascii="Times New Roman" w:hAnsi="Times New Roman" w:cs="Times New Roman"/>
          <w:b/>
          <w:sz w:val="24"/>
          <w:szCs w:val="24"/>
        </w:rPr>
        <w:t>Mishel’s</w:t>
      </w:r>
      <w:r w:rsidRPr="00F80943">
        <w:rPr>
          <w:rFonts w:ascii="Times New Roman" w:hAnsi="Times New Roman" w:cs="Times New Roman"/>
          <w:b/>
          <w:sz w:val="24"/>
          <w:szCs w:val="24"/>
        </w:rPr>
        <w:t xml:space="preserve"> Uncertainty of Illness</w:t>
      </w:r>
    </w:p>
    <w:p w:rsidR="00653E47"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two variables responsible for governing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uncertainty of illness include the provider's cognitive capacity and structure. The latter looks to the personnel involved in the social and professional caregiving networks for the patient. It also defines the staff as resources and evaluates their influence in the interpretation of the stimuli framework. Cognitive capacity limits the processing of information according to time. The middle range theory points </w:t>
      </w:r>
      <w:r w:rsidRPr="00F80943">
        <w:rPr>
          <w:rFonts w:ascii="Times New Roman" w:hAnsi="Times New Roman" w:cs="Times New Roman"/>
          <w:sz w:val="24"/>
          <w:szCs w:val="24"/>
        </w:rPr>
        <w:t xml:space="preserve">to psychological distress as </w:t>
      </w:r>
      <w:r w:rsidRPr="00F80943">
        <w:rPr>
          <w:rFonts w:ascii="Times New Roman" w:hAnsi="Times New Roman" w:cs="Times New Roman"/>
          <w:sz w:val="24"/>
          <w:szCs w:val="24"/>
        </w:rPr>
        <w:t>the reasoning</w:t>
      </w:r>
      <w:r w:rsidRPr="00F80943">
        <w:rPr>
          <w:rFonts w:ascii="Times New Roman" w:hAnsi="Times New Roman" w:cs="Times New Roman"/>
          <w:sz w:val="24"/>
          <w:szCs w:val="24"/>
        </w:rPr>
        <w:t xml:space="preserve"> behind failure by healthcare professionals in interpreting the meaning of events with influential relationships to illnesses because of a lack of adequate cognitive capacity</w:t>
      </w:r>
      <w:r w:rsidRPr="00F80943" w:rsidR="00AA3229">
        <w:rPr>
          <w:rFonts w:ascii="Times New Roman" w:hAnsi="Times New Roman" w:cs="Times New Roman"/>
          <w:sz w:val="24"/>
          <w:szCs w:val="24"/>
        </w:rPr>
        <w:t xml:space="preserve"> (Clayton, Dean &amp; </w:t>
      </w:r>
      <w:r w:rsidRPr="00F80943" w:rsidR="00AA3229">
        <w:rPr>
          <w:rFonts w:ascii="Times New Roman" w:hAnsi="Times New Roman" w:cs="Times New Roman"/>
          <w:sz w:val="24"/>
          <w:szCs w:val="24"/>
        </w:rPr>
        <w:t>Mishel</w:t>
      </w:r>
      <w:r w:rsidRPr="00F80943" w:rsidR="00AA3229">
        <w:rPr>
          <w:rFonts w:ascii="Times New Roman" w:hAnsi="Times New Roman" w:cs="Times New Roman"/>
          <w:sz w:val="24"/>
          <w:szCs w:val="24"/>
        </w:rPr>
        <w:t>, 2018)</w:t>
      </w:r>
      <w:r w:rsidRPr="00F80943">
        <w:rPr>
          <w:rFonts w:ascii="Times New Roman" w:hAnsi="Times New Roman" w:cs="Times New Roman"/>
          <w:sz w:val="24"/>
          <w:szCs w:val="24"/>
        </w:rPr>
        <w:t>. The adoption of the two variables combined forms a schema that reduces uncertainty by improving the interpretation of illness events. However, ineffective support from the structure providers is a barrier to the cognitive schema, and it negatively impacts risk.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 xml:space="preserve">Assumptions </w:t>
      </w:r>
      <w:r w:rsidRPr="00F80943" w:rsidR="000658D9">
        <w:rPr>
          <w:rFonts w:ascii="Times New Roman" w:hAnsi="Times New Roman" w:cs="Times New Roman"/>
          <w:b/>
          <w:sz w:val="24"/>
          <w:szCs w:val="24"/>
        </w:rPr>
        <w:t>by both Theories</w:t>
      </w:r>
    </w:p>
    <w:p w:rsidR="000658D9"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Orem's theory makes one fundamental assumption that allows individuals to e independent and responsible for their care. An additional assumption is the form of nursing action by suggesting the collaboration of two or more parties in providing care (</w:t>
      </w:r>
      <w:r w:rsidRPr="00F80943">
        <w:rPr>
          <w:rFonts w:ascii="Times New Roman" w:eastAsia="Calibri" w:hAnsi="Times New Roman" w:cs="Times New Roman"/>
          <w:sz w:val="24"/>
          <w:szCs w:val="24"/>
        </w:rPr>
        <w:t>Queirós</w:t>
      </w:r>
      <w:r w:rsidRPr="00F80943">
        <w:rPr>
          <w:rFonts w:ascii="Times New Roman" w:eastAsia="Calibri" w:hAnsi="Times New Roman" w:cs="Times New Roman"/>
          <w:sz w:val="24"/>
          <w:szCs w:val="24"/>
        </w:rPr>
        <w:t xml:space="preserve"> et al., 2014). Orem's theory's third and final assumption has a fundamental impact on the delivery of care by defining the patient's comprehension of their health issues. 
</w:t>
      </w:r>
    </w:p>
    <w:p w:rsidR="000658D9"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first assumption by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uncertainty of illness is support for </w:t>
      </w:r>
      <w:r w:rsidRPr="00F80943" w:rsidR="00AA3229">
        <w:rPr>
          <w:rFonts w:ascii="Times New Roman" w:hAnsi="Times New Roman" w:cs="Times New Roman"/>
          <w:sz w:val="24"/>
          <w:szCs w:val="24"/>
        </w:rPr>
        <w:t xml:space="preserve">lack of </w:t>
      </w:r>
      <w:r w:rsidRPr="00F80943">
        <w:rPr>
          <w:rFonts w:ascii="Times New Roman" w:hAnsi="Times New Roman" w:cs="Times New Roman"/>
          <w:sz w:val="24"/>
          <w:szCs w:val="24"/>
        </w:rPr>
        <w:t>cognitive schema, which negatively impacts the i</w:t>
      </w:r>
      <w:r w:rsidRPr="00F80943" w:rsidR="00AA3229">
        <w:rPr>
          <w:rFonts w:ascii="Times New Roman" w:hAnsi="Times New Roman" w:cs="Times New Roman"/>
          <w:sz w:val="24"/>
          <w:szCs w:val="24"/>
        </w:rPr>
        <w:t xml:space="preserve">nterpretation of illness events. Such logic implies the lack of predictability in a cognitive state. Uncertainty </w:t>
      </w:r>
      <w:r w:rsidRPr="00F80943" w:rsidR="00AA3229">
        <w:rPr>
          <w:rFonts w:ascii="Times New Roman" w:hAnsi="Times New Roman" w:cs="Times New Roman"/>
          <w:sz w:val="24"/>
          <w:szCs w:val="24"/>
        </w:rPr>
        <w:t>represents a constitutive natural experience. Therefore, it cannot be described as desirable or aversive before presenting proof. The theory also assumes the existence of a linear relationship between adaptation, coping, illness events, and uncertainty approval, and argues that the situation moves towards adaptation from unpredictability.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 xml:space="preserve">Relationship between </w:t>
      </w:r>
      <w:r w:rsidRPr="00F80943">
        <w:rPr>
          <w:rFonts w:ascii="Times New Roman" w:hAnsi="Times New Roman" w:cs="Times New Roman"/>
          <w:b/>
          <w:sz w:val="24"/>
          <w:szCs w:val="24"/>
        </w:rPr>
        <w:t>Mishel’s</w:t>
      </w:r>
      <w:r w:rsidRPr="00F80943">
        <w:rPr>
          <w:rFonts w:ascii="Times New Roman" w:hAnsi="Times New Roman" w:cs="Times New Roman"/>
          <w:b/>
          <w:sz w:val="24"/>
          <w:szCs w:val="24"/>
        </w:rPr>
        <w:t xml:space="preserve"> Uncertainty in Illness and Orem’s Theory</w:t>
      </w:r>
    </w:p>
    <w:p w:rsidR="00AA3229"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theories by </w:t>
      </w:r>
      <w:r w:rsidRPr="00F80943">
        <w:rPr>
          <w:rFonts w:ascii="Times New Roman" w:hAnsi="Times New Roman" w:cs="Times New Roman"/>
          <w:sz w:val="24"/>
          <w:szCs w:val="24"/>
        </w:rPr>
        <w:t>Mishel</w:t>
      </w:r>
      <w:r w:rsidRPr="00F80943">
        <w:rPr>
          <w:rFonts w:ascii="Times New Roman" w:hAnsi="Times New Roman" w:cs="Times New Roman"/>
          <w:sz w:val="24"/>
          <w:szCs w:val="24"/>
        </w:rPr>
        <w:t xml:space="preserve"> and Orem favor eliminating factors relevant to impeding the health of patients. Additionally, the two encourage actions and behaviors of nurses that improve </w:t>
      </w:r>
      <w:r w:rsidRPr="00F80943">
        <w:rPr>
          <w:rFonts w:ascii="Times New Roman" w:hAnsi="Times New Roman" w:cs="Times New Roman"/>
          <w:sz w:val="24"/>
          <w:szCs w:val="24"/>
        </w:rPr>
        <w:t xml:space="preserve">recovery. In the two theories, healthcare professionals have roles in providing encouragement and advice to patients and family members on means of improving their health. Moreover, the two approaches coincide in </w:t>
      </w:r>
      <w:r w:rsidRPr="00F80943" w:rsidR="00DE7556">
        <w:rPr>
          <w:rFonts w:ascii="Times New Roman" w:hAnsi="Times New Roman" w:cs="Times New Roman"/>
          <w:sz w:val="24"/>
          <w:szCs w:val="24"/>
        </w:rPr>
        <w:t xml:space="preserve">necessities for appropriate interventions in treatment, particularly in the diagnosis and assessment stages.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Application in Clinical Setting</w:t>
      </w:r>
    </w:p>
    <w:p w:rsidR="007F1DA1" w:rsidRPr="00F80943" w:rsidP="00F80943">
      <w:pPr>
        <w:spacing w:before="100" w:beforeAutospacing="1" w:after="100" w:afterAutospacing="1" w:line="480" w:lineRule="auto"/>
        <w:ind w:firstLine="720"/>
        <w:rPr>
          <w:rFonts w:ascii="Times New Roman" w:eastAsia="Calibri" w:hAnsi="Times New Roman" w:cs="Times New Roman"/>
          <w:sz w:val="24"/>
          <w:szCs w:val="24"/>
        </w:rPr>
      </w:pPr>
      <w:r w:rsidRPr="00F80943">
        <w:rPr>
          <w:rFonts w:ascii="Times New Roman" w:eastAsia="Calibri" w:hAnsi="Times New Roman" w:cs="Times New Roman"/>
          <w:sz w:val="24"/>
          <w:szCs w:val="24"/>
        </w:rPr>
        <w:t>Application of Orem's theory is appropriate for various nursing fields within the healthcare system. Various agencies adopt it, such as nursing fields and rehabilitation facilities. Nursing students also encounter the theory in class when learning self-care and its significance in managing illnesses (</w:t>
      </w:r>
      <w:r w:rsidRPr="00F80943">
        <w:rPr>
          <w:rFonts w:ascii="Times New Roman" w:eastAsia="Calibri" w:hAnsi="Times New Roman" w:cs="Times New Roman"/>
          <w:sz w:val="24"/>
          <w:szCs w:val="24"/>
        </w:rPr>
        <w:t>Hashemlu</w:t>
      </w:r>
      <w:r w:rsidRPr="00F80943">
        <w:rPr>
          <w:rFonts w:ascii="Times New Roman" w:eastAsia="Calibri" w:hAnsi="Times New Roman" w:cs="Times New Roman"/>
          <w:sz w:val="24"/>
          <w:szCs w:val="24"/>
        </w:rPr>
        <w:t xml:space="preserve"> et al., 2015). Over time, there have been constant updates to Orem's theory to fit into the current nursing model. 
</w:t>
      </w:r>
    </w:p>
    <w:p w:rsidR="007C7572"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eastAsia="Calibri" w:hAnsi="Times New Roman" w:cs="Times New Roman"/>
          <w:sz w:val="24"/>
          <w:szCs w:val="24"/>
        </w:rPr>
        <w:t xml:space="preserve">The objective of offering treatment in the best means possible makes uncertainty a highly relevant problem. Application of </w:t>
      </w:r>
      <w:r w:rsidRPr="00F80943">
        <w:rPr>
          <w:rFonts w:ascii="Times New Roman" w:eastAsia="Calibri" w:hAnsi="Times New Roman" w:cs="Times New Roman"/>
          <w:sz w:val="24"/>
          <w:szCs w:val="24"/>
        </w:rPr>
        <w:t>Mishel</w:t>
      </w:r>
      <w:r w:rsidRPr="00F80943">
        <w:rPr>
          <w:rFonts w:ascii="Times New Roman" w:eastAsia="Calibri" w:hAnsi="Times New Roman" w:cs="Times New Roman"/>
          <w:sz w:val="24"/>
          <w:szCs w:val="24"/>
        </w:rPr>
        <w:t xml:space="preserve"> uncertainty of illness in a clinical setting proves vital by intervening in the treatment process and solving the problems encountered. An example is its adoption in </w:t>
      </w:r>
      <w:r w:rsidRPr="00F80943">
        <w:rPr>
          <w:rFonts w:ascii="Times New Roman" w:eastAsia="Calibri" w:hAnsi="Times New Roman" w:cs="Times New Roman"/>
          <w:sz w:val="24"/>
          <w:szCs w:val="24"/>
        </w:rPr>
        <w:t>oropharyngeal</w:t>
      </w:r>
      <w:r w:rsidRPr="00F80943">
        <w:rPr>
          <w:rFonts w:ascii="Times New Roman" w:eastAsia="Calibri" w:hAnsi="Times New Roman" w:cs="Times New Roman"/>
          <w:sz w:val="24"/>
          <w:szCs w:val="24"/>
        </w:rPr>
        <w:t xml:space="preserve"> cancer, where it is appropriate to reduce chemotherapy's side effects. Additionally, the reliance on the theory on stable and reliable research makes it critical in evaluating evidence-based strategies as a tactic of achieving stability in healthcare.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Comparison of both Theories in Nursing Practice</w:t>
      </w:r>
    </w:p>
    <w:p w:rsidR="007F1DA1"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The two theories are significant in promoting treatment protocols that improve nursing practice and improve patients' health. The significance of nursing practice is also subject to learning for upcoming nurses (</w:t>
      </w:r>
      <w:r w:rsidRPr="00F80943">
        <w:rPr>
          <w:rFonts w:ascii="Times New Roman" w:hAnsi="Times New Roman" w:cs="Times New Roman"/>
          <w:sz w:val="24"/>
          <w:szCs w:val="24"/>
        </w:rPr>
        <w:t>Naz</w:t>
      </w:r>
      <w:r w:rsidRPr="00F80943">
        <w:rPr>
          <w:rFonts w:ascii="Times New Roman" w:hAnsi="Times New Roman" w:cs="Times New Roman"/>
          <w:sz w:val="24"/>
          <w:szCs w:val="24"/>
        </w:rPr>
        <w:t xml:space="preserve">, 2019). The context refers to holistic care from evaluation of history to enhance the determination of current health status. The theory differs </w:t>
      </w:r>
      <w:r w:rsidRPr="00F80943">
        <w:rPr>
          <w:rFonts w:ascii="Times New Roman" w:hAnsi="Times New Roman" w:cs="Times New Roman"/>
          <w:sz w:val="24"/>
          <w:szCs w:val="24"/>
        </w:rPr>
        <w:t xml:space="preserve">from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uncertainty in illness since the latter's principal focus is reducing risks in practice. The emphasis highlights the benefits of paying more attention to healthcare professionals from the onset to improve health outcomes.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Parsimony</w:t>
      </w:r>
    </w:p>
    <w:p w:rsidR="00AC7822"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It is easy for healthcare professionals to interpret and include both theories to promote the health of patients—irrespective of their difference, the two </w:t>
      </w:r>
      <w:r w:rsidRPr="00F80943">
        <w:rPr>
          <w:rFonts w:ascii="Times New Roman" w:hAnsi="Times New Roman" w:cs="Times New Roman"/>
          <w:sz w:val="24"/>
          <w:szCs w:val="24"/>
        </w:rPr>
        <w:t>highlight</w:t>
      </w:r>
      <w:r w:rsidRPr="00F80943">
        <w:rPr>
          <w:rFonts w:ascii="Times New Roman" w:hAnsi="Times New Roman" w:cs="Times New Roman"/>
          <w:sz w:val="24"/>
          <w:szCs w:val="24"/>
        </w:rPr>
        <w:t xml:space="preserve"> various components of nursing that emphasize evidence-based and patient-centered practices. However, Orem's theory presents complex concepts that contrast to the middle range theory, thus inhibiting potential application.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Applications of both theories in my Clinical Practice</w:t>
      </w:r>
    </w:p>
    <w:p w:rsidR="00302485"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The two theories merit my clinical practice, which I plan to adopt in caring for patients. I can accommodate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theory about the uncertainty of illness in the provision of patient education. Such a step improves patient health outcomes by influencing their health perceptions. In my education plan, the focus will be on symptoms and how to take medication as prescribed without a doubt. I will also include potential side-effects of medication. My current institution already applies Orem's theory in encouraging patients to perform self-care. The nurses need to accrue a comprehensive and holistic understanding of the patient, which the institution provides. Additionally, head-nurses teach juniors of self-care significance and how to integrate it into the care plan. 
</w:t>
      </w:r>
    </w:p>
    <w:p w:rsidR="00616A2D" w:rsidRPr="00F80943" w:rsidP="00F80943">
      <w:pPr>
        <w:spacing w:before="100" w:beforeAutospacing="1" w:after="100" w:afterAutospacing="1" w:line="480" w:lineRule="auto"/>
        <w:jc w:val="center"/>
        <w:rPr>
          <w:rFonts w:ascii="Times New Roman" w:hAnsi="Times New Roman" w:cs="Times New Roman"/>
          <w:b/>
          <w:sz w:val="24"/>
          <w:szCs w:val="24"/>
        </w:rPr>
      </w:pPr>
      <w:r w:rsidRPr="00F80943">
        <w:rPr>
          <w:rFonts w:ascii="Times New Roman" w:hAnsi="Times New Roman" w:cs="Times New Roman"/>
          <w:b/>
          <w:sz w:val="24"/>
          <w:szCs w:val="24"/>
        </w:rPr>
        <w:t>Conclusion</w:t>
      </w:r>
    </w:p>
    <w:p w:rsidR="00ED7A07" w:rsidRPr="00F80943" w:rsidP="00F80943">
      <w:pPr>
        <w:spacing w:before="100" w:beforeAutospacing="1" w:after="100" w:afterAutospacing="1" w:line="480" w:lineRule="auto"/>
        <w:ind w:firstLine="720"/>
        <w:rPr>
          <w:rFonts w:ascii="Times New Roman" w:hAnsi="Times New Roman" w:cs="Times New Roman"/>
          <w:sz w:val="24"/>
          <w:szCs w:val="24"/>
        </w:rPr>
      </w:pPr>
      <w:r w:rsidRPr="00F80943">
        <w:rPr>
          <w:rFonts w:ascii="Times New Roman" w:hAnsi="Times New Roman" w:cs="Times New Roman"/>
          <w:sz w:val="24"/>
          <w:szCs w:val="24"/>
        </w:rPr>
        <w:t xml:space="preserve">Both principles positively influence effectiveness by serving as guidelines for healthcare professionals to improve patient outcomes. Appropriate strategies for implementing the two include patient education and observation of stressors. Both theories also place significant emphasis on proper diagnosis. However, there are considerable differences between the two. Orem pays attention to patients' self-care, while </w:t>
      </w:r>
      <w:r w:rsidRPr="00F80943">
        <w:rPr>
          <w:rFonts w:ascii="Times New Roman" w:hAnsi="Times New Roman" w:cs="Times New Roman"/>
          <w:sz w:val="24"/>
          <w:szCs w:val="24"/>
        </w:rPr>
        <w:t>Mishel’s</w:t>
      </w:r>
      <w:r w:rsidRPr="00F80943">
        <w:rPr>
          <w:rFonts w:ascii="Times New Roman" w:hAnsi="Times New Roman" w:cs="Times New Roman"/>
          <w:sz w:val="24"/>
          <w:szCs w:val="24"/>
        </w:rPr>
        <w:t xml:space="preserve"> theory highlights the importance of reducing uncertainties of illness through a comprehensive assessment of health history. 
</w:t>
      </w:r>
    </w:p>
    <w:p w:rsidR="00ED7A07" w:rsidRPr="00F80943" w:rsidP="00F80943">
      <w:pPr>
        <w:spacing w:before="100" w:beforeAutospacing="1" w:after="100" w:afterAutospacing="1" w:line="480" w:lineRule="auto"/>
        <w:rPr>
          <w:rFonts w:ascii="Times New Roman" w:eastAsia="Calibri" w:hAnsi="Times New Roman" w:cs="Times New Roman"/>
          <w:i/>
          <w:sz w:val="24"/>
          <w:szCs w:val="24"/>
        </w:rPr>
      </w:pPr>
      <w:r w:rsidRPr="00F80943">
        <w:rPr>
          <w:rFonts w:ascii="Times New Roman" w:eastAsia="Calibri" w:hAnsi="Times New Roman" w:cs="Times New Roman"/>
          <w:i/>
          <w:sz w:val="24"/>
          <w:szCs w:val="24"/>
        </w:rPr>
        <w:br w:type="page"/>
      </w:r>
    </w:p>
    <w:p w:rsidR="007C7572" w:rsidRPr="00F80943" w:rsidP="00F80943">
      <w:pPr>
        <w:spacing w:before="100" w:beforeAutospacing="1" w:after="100" w:afterAutospacing="1" w:line="480" w:lineRule="auto"/>
        <w:jc w:val="center"/>
        <w:rPr>
          <w:rFonts w:ascii="Times New Roman" w:hAnsi="Times New Roman" w:cs="Times New Roman"/>
          <w:sz w:val="24"/>
          <w:szCs w:val="24"/>
        </w:rPr>
      </w:pPr>
      <w:r w:rsidRPr="00F80943">
        <w:rPr>
          <w:rFonts w:ascii="Times New Roman" w:hAnsi="Times New Roman" w:cs="Times New Roman"/>
          <w:sz w:val="24"/>
          <w:szCs w:val="24"/>
        </w:rPr>
        <w:t>References</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Alligood</w:t>
      </w:r>
      <w:r w:rsidRPr="00F80943">
        <w:rPr>
          <w:rFonts w:ascii="Times New Roman" w:hAnsi="Times New Roman" w:cs="Times New Roman"/>
          <w:sz w:val="24"/>
          <w:szCs w:val="24"/>
        </w:rPr>
        <w:t xml:space="preserve">, M. R. (2014). </w:t>
      </w:r>
      <w:r w:rsidRPr="00F80943">
        <w:rPr>
          <w:rFonts w:ascii="Times New Roman" w:hAnsi="Times New Roman" w:cs="Times New Roman"/>
          <w:sz w:val="24"/>
          <w:szCs w:val="24"/>
        </w:rPr>
        <w:t>State of the art and science of nursing theory.</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 xml:space="preserve">In M. R. </w:t>
      </w:r>
      <w:r w:rsidRPr="00F80943">
        <w:rPr>
          <w:rFonts w:ascii="Times New Roman" w:hAnsi="Times New Roman" w:cs="Times New Roman"/>
          <w:sz w:val="24"/>
          <w:szCs w:val="24"/>
        </w:rPr>
        <w:t>Alligood</w:t>
      </w:r>
      <w:r w:rsidRPr="00F80943">
        <w:rPr>
          <w:rFonts w:ascii="Times New Roman" w:hAnsi="Times New Roman" w:cs="Times New Roman"/>
          <w:sz w:val="24"/>
          <w:szCs w:val="24"/>
        </w:rPr>
        <w:t xml:space="preserve"> (Ed.), Nursing theorists and their work (8th ed., pp. 712–720).</w:t>
      </w:r>
      <w:r w:rsidRPr="00F80943">
        <w:rPr>
          <w:rFonts w:ascii="Times New Roman" w:hAnsi="Times New Roman" w:cs="Times New Roman"/>
          <w:sz w:val="24"/>
          <w:szCs w:val="24"/>
        </w:rPr>
        <w:t xml:space="preserve"> St. Louis, MO: Mosby</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 xml:space="preserve">Carr, J. M. (2014). </w:t>
      </w:r>
      <w:r w:rsidRPr="00F80943">
        <w:rPr>
          <w:rFonts w:ascii="Times New Roman" w:hAnsi="Times New Roman" w:cs="Times New Roman"/>
          <w:sz w:val="24"/>
          <w:szCs w:val="24"/>
        </w:rPr>
        <w:t>A middle-range theory of family vigilance.</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Medsurg</w:t>
      </w:r>
      <w:r w:rsidRPr="00F80943">
        <w:rPr>
          <w:rFonts w:ascii="Times New Roman" w:hAnsi="Times New Roman" w:cs="Times New Roman"/>
          <w:sz w:val="24"/>
          <w:szCs w:val="24"/>
        </w:rPr>
        <w:t xml:space="preserve"> Nursing, 23(4), 251–255.</w:t>
      </w:r>
    </w:p>
    <w:p w:rsidR="00AA3229" w:rsidRPr="00F80943" w:rsidP="00F80943">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80943">
        <w:rPr>
          <w:rFonts w:ascii="Times New Roman" w:hAnsi="Times New Roman" w:cs="Times New Roman"/>
          <w:color w:val="222222"/>
          <w:sz w:val="24"/>
          <w:szCs w:val="24"/>
          <w:shd w:val="clear" w:color="auto" w:fill="FFFFFF"/>
        </w:rPr>
        <w:t xml:space="preserve">Clayton, M., Dean, M., &amp; </w:t>
      </w:r>
      <w:r w:rsidRPr="00F80943">
        <w:rPr>
          <w:rFonts w:ascii="Times New Roman" w:hAnsi="Times New Roman" w:cs="Times New Roman"/>
          <w:color w:val="222222"/>
          <w:sz w:val="24"/>
          <w:szCs w:val="24"/>
          <w:shd w:val="clear" w:color="auto" w:fill="FFFFFF"/>
        </w:rPr>
        <w:t>Mishel</w:t>
      </w:r>
      <w:r w:rsidRPr="00F80943">
        <w:rPr>
          <w:rFonts w:ascii="Times New Roman" w:hAnsi="Times New Roman" w:cs="Times New Roman"/>
          <w:color w:val="222222"/>
          <w:sz w:val="24"/>
          <w:szCs w:val="24"/>
          <w:shd w:val="clear" w:color="auto" w:fill="FFFFFF"/>
        </w:rPr>
        <w:t>, M. (2018).</w:t>
      </w:r>
      <w:r w:rsidRPr="00F80943">
        <w:rPr>
          <w:rFonts w:ascii="Times New Roman" w:hAnsi="Times New Roman" w:cs="Times New Roman"/>
          <w:color w:val="222222"/>
          <w:sz w:val="24"/>
          <w:szCs w:val="24"/>
          <w:shd w:val="clear" w:color="auto" w:fill="FFFFFF"/>
        </w:rPr>
        <w:t xml:space="preserve"> </w:t>
      </w:r>
      <w:r w:rsidRPr="00F80943">
        <w:rPr>
          <w:rFonts w:ascii="Times New Roman" w:hAnsi="Times New Roman" w:cs="Times New Roman"/>
          <w:color w:val="222222"/>
          <w:sz w:val="24"/>
          <w:szCs w:val="24"/>
          <w:shd w:val="clear" w:color="auto" w:fill="FFFFFF"/>
        </w:rPr>
        <w:t>Theories of uncertainty in illness.</w:t>
      </w:r>
      <w:r w:rsidRPr="00F80943">
        <w:rPr>
          <w:rFonts w:ascii="Times New Roman" w:hAnsi="Times New Roman" w:cs="Times New Roman"/>
          <w:color w:val="222222"/>
          <w:sz w:val="24"/>
          <w:szCs w:val="24"/>
          <w:shd w:val="clear" w:color="auto" w:fill="FFFFFF"/>
        </w:rPr>
        <w:t> </w:t>
      </w:r>
      <w:r w:rsidRPr="00F80943">
        <w:rPr>
          <w:rFonts w:ascii="Times New Roman" w:hAnsi="Times New Roman" w:cs="Times New Roman"/>
          <w:i/>
          <w:iCs/>
          <w:color w:val="222222"/>
          <w:sz w:val="24"/>
          <w:szCs w:val="24"/>
          <w:shd w:val="clear" w:color="auto" w:fill="FFFFFF"/>
        </w:rPr>
        <w:t>Middle range theory for nursing</w:t>
      </w:r>
      <w:r w:rsidRPr="00F80943">
        <w:rPr>
          <w:rFonts w:ascii="Times New Roman" w:hAnsi="Times New Roman" w:cs="Times New Roman"/>
          <w:color w:val="222222"/>
          <w:sz w:val="24"/>
          <w:szCs w:val="24"/>
          <w:shd w:val="clear" w:color="auto" w:fill="FFFFFF"/>
        </w:rPr>
        <w:t>, </w:t>
      </w:r>
      <w:r w:rsidRPr="00F80943">
        <w:rPr>
          <w:rFonts w:ascii="Times New Roman" w:hAnsi="Times New Roman" w:cs="Times New Roman"/>
          <w:i/>
          <w:iCs/>
          <w:color w:val="222222"/>
          <w:sz w:val="24"/>
          <w:szCs w:val="24"/>
          <w:shd w:val="clear" w:color="auto" w:fill="FFFFFF"/>
        </w:rPr>
        <w:t>4</w:t>
      </w:r>
      <w:r w:rsidRPr="00F80943">
        <w:rPr>
          <w:rFonts w:ascii="Times New Roman" w:hAnsi="Times New Roman" w:cs="Times New Roman"/>
          <w:color w:val="222222"/>
          <w:sz w:val="24"/>
          <w:szCs w:val="24"/>
          <w:shd w:val="clear" w:color="auto" w:fill="FFFFFF"/>
        </w:rPr>
        <w:t>, 49-82.</w:t>
      </w:r>
    </w:p>
    <w:p w:rsidR="0002426B"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Hashemlu</w:t>
      </w:r>
      <w:r w:rsidRPr="00F80943">
        <w:rPr>
          <w:rFonts w:ascii="Times New Roman" w:hAnsi="Times New Roman" w:cs="Times New Roman"/>
          <w:sz w:val="24"/>
          <w:szCs w:val="24"/>
        </w:rPr>
        <w:t xml:space="preserve">, L., </w:t>
      </w:r>
      <w:r w:rsidRPr="00F80943">
        <w:rPr>
          <w:rFonts w:ascii="Times New Roman" w:hAnsi="Times New Roman" w:cs="Times New Roman"/>
          <w:sz w:val="24"/>
          <w:szCs w:val="24"/>
        </w:rPr>
        <w:t>Maslakpak</w:t>
      </w:r>
      <w:r w:rsidRPr="00F80943">
        <w:rPr>
          <w:rFonts w:ascii="Times New Roman" w:hAnsi="Times New Roman" w:cs="Times New Roman"/>
          <w:sz w:val="24"/>
          <w:szCs w:val="24"/>
        </w:rPr>
        <w:t xml:space="preserve">, M. H., &amp; </w:t>
      </w:r>
      <w:r w:rsidRPr="00F80943">
        <w:rPr>
          <w:rFonts w:ascii="Times New Roman" w:hAnsi="Times New Roman" w:cs="Times New Roman"/>
          <w:sz w:val="24"/>
          <w:szCs w:val="24"/>
        </w:rPr>
        <w:t>Bagherie</w:t>
      </w:r>
      <w:r w:rsidRPr="00F80943">
        <w:rPr>
          <w:rFonts w:ascii="Times New Roman" w:hAnsi="Times New Roman" w:cs="Times New Roman"/>
          <w:sz w:val="24"/>
          <w:szCs w:val="24"/>
        </w:rPr>
        <w:t>, F. (2015).</w:t>
      </w:r>
      <w:r w:rsidRPr="00F80943">
        <w:rPr>
          <w:rFonts w:ascii="Times New Roman" w:hAnsi="Times New Roman" w:cs="Times New Roman"/>
          <w:sz w:val="24"/>
          <w:szCs w:val="24"/>
        </w:rPr>
        <w:t xml:space="preserve"> The Effects of a Self-Care Educational Program Based on Orem’s Theory on the Quality of Life of Elderly People Residing in Nursing Homes. </w:t>
      </w:r>
      <w:r w:rsidRPr="00F80943">
        <w:rPr>
          <w:rFonts w:ascii="Times New Roman" w:hAnsi="Times New Roman" w:cs="Times New Roman"/>
          <w:sz w:val="24"/>
          <w:szCs w:val="24"/>
        </w:rPr>
        <w:t>Modern Care Journal, 12(4).</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 xml:space="preserve">Masters, K. (2014). </w:t>
      </w:r>
      <w:r w:rsidRPr="00F80943">
        <w:rPr>
          <w:rFonts w:ascii="Times New Roman" w:hAnsi="Times New Roman" w:cs="Times New Roman"/>
          <w:sz w:val="24"/>
          <w:szCs w:val="24"/>
        </w:rPr>
        <w:t>Nursing Theories: A Framework for Professional Practice.</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Jones &amp; Bartlett Publishers.</w:t>
      </w:r>
    </w:p>
    <w:p w:rsidR="00787CC4" w:rsidRPr="00F80943" w:rsidP="00F80943">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80943">
        <w:rPr>
          <w:rFonts w:ascii="Times New Roman" w:hAnsi="Times New Roman" w:cs="Times New Roman"/>
          <w:color w:val="222222"/>
          <w:sz w:val="24"/>
          <w:szCs w:val="24"/>
          <w:shd w:val="clear" w:color="auto" w:fill="FFFFFF"/>
        </w:rPr>
        <w:t>Mendes, A. P. (2020). Uncertainty in critical illness and the unexpected: important mediators in the process of nurse-family communication. </w:t>
      </w:r>
      <w:r w:rsidRPr="00F80943">
        <w:rPr>
          <w:rFonts w:ascii="Times New Roman" w:hAnsi="Times New Roman" w:cs="Times New Roman"/>
          <w:i/>
          <w:iCs/>
          <w:color w:val="222222"/>
          <w:sz w:val="24"/>
          <w:szCs w:val="24"/>
          <w:shd w:val="clear" w:color="auto" w:fill="FFFFFF"/>
        </w:rPr>
        <w:t>Escola</w:t>
      </w:r>
      <w:r w:rsidRPr="00F80943">
        <w:rPr>
          <w:rFonts w:ascii="Times New Roman" w:hAnsi="Times New Roman" w:cs="Times New Roman"/>
          <w:i/>
          <w:iCs/>
          <w:color w:val="222222"/>
          <w:sz w:val="24"/>
          <w:szCs w:val="24"/>
          <w:shd w:val="clear" w:color="auto" w:fill="FFFFFF"/>
        </w:rPr>
        <w:t xml:space="preserve"> Anna </w:t>
      </w:r>
      <w:r w:rsidRPr="00F80943">
        <w:rPr>
          <w:rFonts w:ascii="Times New Roman" w:hAnsi="Times New Roman" w:cs="Times New Roman"/>
          <w:i/>
          <w:iCs/>
          <w:color w:val="222222"/>
          <w:sz w:val="24"/>
          <w:szCs w:val="24"/>
          <w:shd w:val="clear" w:color="auto" w:fill="FFFFFF"/>
        </w:rPr>
        <w:t>Nery</w:t>
      </w:r>
      <w:r w:rsidRPr="00F80943">
        <w:rPr>
          <w:rFonts w:ascii="Times New Roman" w:hAnsi="Times New Roman" w:cs="Times New Roman"/>
          <w:color w:val="222222"/>
          <w:sz w:val="24"/>
          <w:szCs w:val="24"/>
          <w:shd w:val="clear" w:color="auto" w:fill="FFFFFF"/>
        </w:rPr>
        <w:t>, </w:t>
      </w:r>
      <w:r w:rsidRPr="00F80943">
        <w:rPr>
          <w:rFonts w:ascii="Times New Roman" w:hAnsi="Times New Roman" w:cs="Times New Roman"/>
          <w:i/>
          <w:iCs/>
          <w:color w:val="222222"/>
          <w:sz w:val="24"/>
          <w:szCs w:val="24"/>
          <w:shd w:val="clear" w:color="auto" w:fill="FFFFFF"/>
        </w:rPr>
        <w:t>24</w:t>
      </w:r>
      <w:r w:rsidRPr="00F80943">
        <w:rPr>
          <w:rFonts w:ascii="Times New Roman" w:hAnsi="Times New Roman" w:cs="Times New Roman"/>
          <w:color w:val="222222"/>
          <w:sz w:val="24"/>
          <w:szCs w:val="24"/>
          <w:shd w:val="clear" w:color="auto" w:fill="FFFFFF"/>
        </w:rPr>
        <w:t>(1).</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Naz</w:t>
      </w:r>
      <w:r w:rsidRPr="00F80943">
        <w:rPr>
          <w:rFonts w:ascii="Times New Roman" w:hAnsi="Times New Roman" w:cs="Times New Roman"/>
          <w:sz w:val="24"/>
          <w:szCs w:val="24"/>
        </w:rPr>
        <w:t>, S. (2019).</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Application of Dorothea Orem’s Theory into Nursing Practice.</w:t>
      </w:r>
      <w:r w:rsidRPr="00F80943">
        <w:rPr>
          <w:rFonts w:ascii="Times New Roman" w:hAnsi="Times New Roman" w:cs="Times New Roman"/>
          <w:sz w:val="24"/>
          <w:szCs w:val="24"/>
        </w:rPr>
        <w:t xml:space="preserve"> Journal of </w:t>
      </w:r>
      <w:r w:rsidRPr="00F80943">
        <w:rPr>
          <w:rFonts w:ascii="Times New Roman" w:hAnsi="Times New Roman" w:cs="Times New Roman"/>
          <w:sz w:val="24"/>
          <w:szCs w:val="24"/>
        </w:rPr>
        <w:t>Rehman</w:t>
      </w:r>
      <w:r w:rsidRPr="00F80943">
        <w:rPr>
          <w:rFonts w:ascii="Times New Roman" w:hAnsi="Times New Roman" w:cs="Times New Roman"/>
          <w:sz w:val="24"/>
          <w:szCs w:val="24"/>
        </w:rPr>
        <w:t xml:space="preserve"> Medical Institute, 3(3-4).</w:t>
      </w:r>
    </w:p>
    <w:p w:rsidR="00334536" w:rsidRPr="00F80943" w:rsidP="00F80943">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80943">
        <w:rPr>
          <w:rFonts w:ascii="Times New Roman" w:hAnsi="Times New Roman" w:cs="Times New Roman"/>
          <w:color w:val="222222"/>
          <w:sz w:val="24"/>
          <w:szCs w:val="24"/>
          <w:shd w:val="clear" w:color="auto" w:fill="FFFFFF"/>
        </w:rPr>
        <w:t>Orom</w:t>
      </w:r>
      <w:r w:rsidRPr="00F80943">
        <w:rPr>
          <w:rFonts w:ascii="Times New Roman" w:hAnsi="Times New Roman" w:cs="Times New Roman"/>
          <w:color w:val="222222"/>
          <w:sz w:val="24"/>
          <w:szCs w:val="24"/>
          <w:shd w:val="clear" w:color="auto" w:fill="FFFFFF"/>
        </w:rPr>
        <w:t xml:space="preserve">, H., Biddle, C., Waters, E. A., </w:t>
      </w:r>
      <w:r w:rsidRPr="00F80943">
        <w:rPr>
          <w:rFonts w:ascii="Times New Roman" w:hAnsi="Times New Roman" w:cs="Times New Roman"/>
          <w:color w:val="222222"/>
          <w:sz w:val="24"/>
          <w:szCs w:val="24"/>
          <w:shd w:val="clear" w:color="auto" w:fill="FFFFFF"/>
        </w:rPr>
        <w:t>Kiviniemi</w:t>
      </w:r>
      <w:r w:rsidRPr="00F80943">
        <w:rPr>
          <w:rFonts w:ascii="Times New Roman" w:hAnsi="Times New Roman" w:cs="Times New Roman"/>
          <w:color w:val="222222"/>
          <w:sz w:val="24"/>
          <w:szCs w:val="24"/>
          <w:shd w:val="clear" w:color="auto" w:fill="FFFFFF"/>
        </w:rPr>
        <w:t xml:space="preserve">, M. T., </w:t>
      </w:r>
      <w:r w:rsidRPr="00F80943">
        <w:rPr>
          <w:rFonts w:ascii="Times New Roman" w:hAnsi="Times New Roman" w:cs="Times New Roman"/>
          <w:color w:val="222222"/>
          <w:sz w:val="24"/>
          <w:szCs w:val="24"/>
          <w:shd w:val="clear" w:color="auto" w:fill="FFFFFF"/>
        </w:rPr>
        <w:t>Sosnowski</w:t>
      </w:r>
      <w:r w:rsidRPr="00F80943">
        <w:rPr>
          <w:rFonts w:ascii="Times New Roman" w:hAnsi="Times New Roman" w:cs="Times New Roman"/>
          <w:color w:val="222222"/>
          <w:sz w:val="24"/>
          <w:szCs w:val="24"/>
          <w:shd w:val="clear" w:color="auto" w:fill="FFFFFF"/>
        </w:rPr>
        <w:t>, A. N., &amp; Hay, J. L. (2020). Causes and consequences of uncertainty about illness risk perceptions. </w:t>
      </w:r>
      <w:r w:rsidRPr="00F80943">
        <w:rPr>
          <w:rFonts w:ascii="Times New Roman" w:hAnsi="Times New Roman" w:cs="Times New Roman"/>
          <w:i/>
          <w:iCs/>
          <w:color w:val="222222"/>
          <w:sz w:val="24"/>
          <w:szCs w:val="24"/>
          <w:shd w:val="clear" w:color="auto" w:fill="FFFFFF"/>
        </w:rPr>
        <w:t>Journal of Health Psychology</w:t>
      </w:r>
      <w:r w:rsidRPr="00F80943">
        <w:rPr>
          <w:rFonts w:ascii="Times New Roman" w:hAnsi="Times New Roman" w:cs="Times New Roman"/>
          <w:color w:val="222222"/>
          <w:sz w:val="24"/>
          <w:szCs w:val="24"/>
          <w:shd w:val="clear" w:color="auto" w:fill="FFFFFF"/>
        </w:rPr>
        <w:t>, </w:t>
      </w:r>
      <w:r w:rsidRPr="00F80943">
        <w:rPr>
          <w:rFonts w:ascii="Times New Roman" w:hAnsi="Times New Roman" w:cs="Times New Roman"/>
          <w:i/>
          <w:iCs/>
          <w:color w:val="222222"/>
          <w:sz w:val="24"/>
          <w:szCs w:val="24"/>
          <w:shd w:val="clear" w:color="auto" w:fill="FFFFFF"/>
        </w:rPr>
        <w:t>25</w:t>
      </w:r>
      <w:r w:rsidRPr="00F80943">
        <w:rPr>
          <w:rFonts w:ascii="Times New Roman" w:hAnsi="Times New Roman" w:cs="Times New Roman"/>
          <w:color w:val="222222"/>
          <w:sz w:val="24"/>
          <w:szCs w:val="24"/>
          <w:shd w:val="clear" w:color="auto" w:fill="FFFFFF"/>
        </w:rPr>
        <w:t>(8), 1030-1042.</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O'Shaughnessy, M. (2014).</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Application of Dorothea Orem's Theory of Self-Care to the Elderly Patient on Peritoneal Dialysis.</w:t>
      </w:r>
      <w:r w:rsidRPr="00F80943">
        <w:rPr>
          <w:rFonts w:ascii="Times New Roman" w:hAnsi="Times New Roman" w:cs="Times New Roman"/>
          <w:sz w:val="24"/>
          <w:szCs w:val="24"/>
        </w:rPr>
        <w:t xml:space="preserve"> </w:t>
      </w:r>
      <w:r w:rsidRPr="00F80943">
        <w:rPr>
          <w:rFonts w:ascii="Times New Roman" w:hAnsi="Times New Roman" w:cs="Times New Roman"/>
          <w:sz w:val="24"/>
          <w:szCs w:val="24"/>
        </w:rPr>
        <w:t>Nephrology Nursing Journal, 41(5), 495.</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r w:rsidRPr="00F80943">
        <w:rPr>
          <w:rFonts w:ascii="Times New Roman" w:hAnsi="Times New Roman" w:cs="Times New Roman"/>
          <w:sz w:val="24"/>
          <w:szCs w:val="24"/>
        </w:rPr>
        <w:t>Queirós</w:t>
      </w:r>
      <w:r w:rsidRPr="00F80943">
        <w:rPr>
          <w:rFonts w:ascii="Times New Roman" w:hAnsi="Times New Roman" w:cs="Times New Roman"/>
          <w:sz w:val="24"/>
          <w:szCs w:val="24"/>
        </w:rPr>
        <w:t xml:space="preserve">, P. J. P., </w:t>
      </w:r>
      <w:r w:rsidRPr="00F80943">
        <w:rPr>
          <w:rFonts w:ascii="Times New Roman" w:hAnsi="Times New Roman" w:cs="Times New Roman"/>
          <w:sz w:val="24"/>
          <w:szCs w:val="24"/>
        </w:rPr>
        <w:t>Vidinha</w:t>
      </w:r>
      <w:r w:rsidRPr="00F80943">
        <w:rPr>
          <w:rFonts w:ascii="Times New Roman" w:hAnsi="Times New Roman" w:cs="Times New Roman"/>
          <w:sz w:val="24"/>
          <w:szCs w:val="24"/>
        </w:rPr>
        <w:t xml:space="preserve">, T. S. S., &amp; Almeida </w:t>
      </w:r>
      <w:r w:rsidRPr="00F80943">
        <w:rPr>
          <w:rFonts w:ascii="Times New Roman" w:hAnsi="Times New Roman" w:cs="Times New Roman"/>
          <w:sz w:val="24"/>
          <w:szCs w:val="24"/>
        </w:rPr>
        <w:t>Filho</w:t>
      </w:r>
      <w:r w:rsidRPr="00F80943">
        <w:rPr>
          <w:rFonts w:ascii="Times New Roman" w:hAnsi="Times New Roman" w:cs="Times New Roman"/>
          <w:sz w:val="24"/>
          <w:szCs w:val="24"/>
        </w:rPr>
        <w:t>, A. J. (2014).</w:t>
      </w:r>
      <w:r w:rsidRPr="00F80943">
        <w:rPr>
          <w:rFonts w:ascii="Times New Roman" w:hAnsi="Times New Roman" w:cs="Times New Roman"/>
          <w:sz w:val="24"/>
          <w:szCs w:val="24"/>
        </w:rPr>
        <w:t xml:space="preserve"> Self-care: Orem's Theoretical Contribution to </w:t>
      </w:r>
      <w:r w:rsidRPr="00F80943">
        <w:rPr>
          <w:rFonts w:ascii="Times New Roman" w:hAnsi="Times New Roman" w:cs="Times New Roman"/>
          <w:sz w:val="24"/>
          <w:szCs w:val="24"/>
        </w:rPr>
        <w:t>The</w:t>
      </w:r>
      <w:r w:rsidRPr="00F80943">
        <w:rPr>
          <w:rFonts w:ascii="Times New Roman" w:hAnsi="Times New Roman" w:cs="Times New Roman"/>
          <w:sz w:val="24"/>
          <w:szCs w:val="24"/>
        </w:rPr>
        <w:t xml:space="preserve"> Nursing Discipline and Profession. </w:t>
      </w:r>
      <w:r w:rsidRPr="00F80943">
        <w:rPr>
          <w:rFonts w:ascii="Times New Roman" w:hAnsi="Times New Roman" w:cs="Times New Roman"/>
          <w:sz w:val="24"/>
          <w:szCs w:val="24"/>
        </w:rPr>
        <w:t>Revista</w:t>
      </w:r>
      <w:r w:rsidRPr="00F80943">
        <w:rPr>
          <w:rFonts w:ascii="Times New Roman" w:hAnsi="Times New Roman" w:cs="Times New Roman"/>
          <w:sz w:val="24"/>
          <w:szCs w:val="24"/>
        </w:rPr>
        <w:t xml:space="preserve"> de </w:t>
      </w:r>
      <w:r w:rsidRPr="00F80943">
        <w:rPr>
          <w:rFonts w:ascii="Times New Roman" w:hAnsi="Times New Roman" w:cs="Times New Roman"/>
          <w:sz w:val="24"/>
          <w:szCs w:val="24"/>
        </w:rPr>
        <w:t>Enfermagem</w:t>
      </w:r>
      <w:r w:rsidRPr="00F80943">
        <w:rPr>
          <w:rFonts w:ascii="Times New Roman" w:hAnsi="Times New Roman" w:cs="Times New Roman"/>
          <w:sz w:val="24"/>
          <w:szCs w:val="24"/>
        </w:rPr>
        <w:t xml:space="preserve"> [internet], 4(3), 157-63.</w:t>
      </w:r>
    </w:p>
    <w:p w:rsidR="007C7572" w:rsidRPr="00F80943" w:rsidP="00F80943">
      <w:pPr>
        <w:spacing w:before="100" w:beforeAutospacing="1" w:after="100" w:afterAutospacing="1" w:line="480" w:lineRule="auto"/>
        <w:ind w:left="720" w:hanging="720"/>
        <w:rPr>
          <w:rFonts w:ascii="Times New Roman" w:hAnsi="Times New Roman" w:cs="Times New Roman"/>
          <w:sz w:val="24"/>
          <w:szCs w:val="24"/>
        </w:rPr>
      </w:pPr>
    </w:p>
    <w:sectPr w:rsidSect="00CA762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3" w:rsidRPr="00F80943">
    <w:pPr>
      <w:pStyle w:val="Header"/>
      <w:jc w:val="right"/>
      <w:rPr>
        <w:rFonts w:ascii="Times New Roman" w:hAnsi="Times New Roman" w:cs="Times New Roman"/>
        <w:sz w:val="24"/>
      </w:rPr>
    </w:pPr>
    <w:r w:rsidRPr="00F80943">
      <w:rPr>
        <w:rFonts w:ascii="Times New Roman" w:hAnsi="Times New Roman" w:cs="Times New Roman"/>
        <w:sz w:val="24"/>
      </w:rPr>
      <w:t xml:space="preserve">COMPARISON OF NURSING THEORIES </w:t>
    </w:r>
    <w:r w:rsidRPr="00F80943">
      <w:rPr>
        <w:rFonts w:ascii="Times New Roman" w:hAnsi="Times New Roman" w:cs="Times New Roman"/>
        <w:sz w:val="24"/>
      </w:rPr>
      <w:tab/>
    </w:r>
    <w:r w:rsidRPr="00F80943">
      <w:rPr>
        <w:rFonts w:ascii="Times New Roman" w:hAnsi="Times New Roman" w:cs="Times New Roman"/>
        <w:sz w:val="24"/>
      </w:rPr>
      <w:tab/>
    </w:r>
    <w:sdt>
      <w:sdtPr>
        <w:rPr>
          <w:rFonts w:ascii="Times New Roman" w:hAnsi="Times New Roman" w:cs="Times New Roman"/>
          <w:sz w:val="24"/>
        </w:rPr>
        <w:id w:val="358723863"/>
        <w:docPartObj>
          <w:docPartGallery w:val="Page Numbers (Top of Page)"/>
          <w:docPartUnique/>
        </w:docPartObj>
      </w:sdtPr>
      <w:sdtContent>
        <w:r w:rsidRPr="00F80943">
          <w:rPr>
            <w:rFonts w:ascii="Times New Roman" w:hAnsi="Times New Roman" w:cs="Times New Roman"/>
            <w:sz w:val="24"/>
          </w:rPr>
          <w:fldChar w:fldCharType="begin"/>
        </w:r>
        <w:r w:rsidRPr="00F80943">
          <w:rPr>
            <w:rFonts w:ascii="Times New Roman" w:hAnsi="Times New Roman" w:cs="Times New Roman"/>
            <w:sz w:val="24"/>
          </w:rPr>
          <w:instrText xml:space="preserve"> PAGE   \* MERGEFORMAT </w:instrText>
        </w:r>
        <w:r w:rsidRPr="00F80943">
          <w:rPr>
            <w:rFonts w:ascii="Times New Roman" w:hAnsi="Times New Roman" w:cs="Times New Roman"/>
            <w:sz w:val="24"/>
          </w:rPr>
          <w:fldChar w:fldCharType="separate"/>
        </w:r>
        <w:r>
          <w:rPr>
            <w:rFonts w:ascii="Times New Roman" w:hAnsi="Times New Roman" w:cs="Times New Roman"/>
            <w:noProof/>
            <w:sz w:val="24"/>
          </w:rPr>
          <w:t>2</w:t>
        </w:r>
        <w:r w:rsidRPr="00F80943">
          <w:rPr>
            <w:rFonts w:ascii="Times New Roman" w:hAnsi="Times New Roman" w:cs="Times New Roman"/>
            <w:sz w:val="24"/>
          </w:rPr>
          <w:fldChar w:fldCharType="end"/>
        </w:r>
      </w:sdtContent>
    </w:sdt>
  </w:p>
  <w:p w:rsidR="007C7572" w:rsidRPr="00F8094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3" w:rsidRPr="00F80943">
    <w:pPr>
      <w:pStyle w:val="Header"/>
      <w:jc w:val="right"/>
      <w:rPr>
        <w:rFonts w:ascii="Times New Roman" w:hAnsi="Times New Roman" w:cs="Times New Roman"/>
        <w:sz w:val="24"/>
      </w:rPr>
    </w:pPr>
    <w:r w:rsidRPr="00F80943">
      <w:rPr>
        <w:rFonts w:ascii="Times New Roman" w:hAnsi="Times New Roman" w:cs="Times New Roman"/>
        <w:sz w:val="24"/>
      </w:rPr>
      <w:t xml:space="preserve">Running Head: COMPARISON OF NURSING THEORIES </w:t>
    </w:r>
    <w:r w:rsidRPr="00F80943">
      <w:rPr>
        <w:rFonts w:ascii="Times New Roman" w:hAnsi="Times New Roman" w:cs="Times New Roman"/>
        <w:sz w:val="24"/>
      </w:rPr>
      <w:tab/>
    </w:r>
    <w:sdt>
      <w:sdtPr>
        <w:rPr>
          <w:rFonts w:ascii="Times New Roman" w:hAnsi="Times New Roman" w:cs="Times New Roman"/>
          <w:sz w:val="24"/>
        </w:rPr>
        <w:id w:val="358723896"/>
        <w:docPartObj>
          <w:docPartGallery w:val="Page Numbers (Top of Page)"/>
          <w:docPartUnique/>
        </w:docPartObj>
      </w:sdtPr>
      <w:sdtContent>
        <w:r w:rsidRPr="00F80943">
          <w:rPr>
            <w:rFonts w:ascii="Times New Roman" w:hAnsi="Times New Roman" w:cs="Times New Roman"/>
            <w:sz w:val="24"/>
          </w:rPr>
          <w:fldChar w:fldCharType="begin"/>
        </w:r>
        <w:r w:rsidRPr="00F80943">
          <w:rPr>
            <w:rFonts w:ascii="Times New Roman" w:hAnsi="Times New Roman" w:cs="Times New Roman"/>
            <w:sz w:val="24"/>
          </w:rPr>
          <w:instrText xml:space="preserve"> PAGE   \* MERGEFORMAT </w:instrText>
        </w:r>
        <w:r w:rsidRPr="00F80943">
          <w:rPr>
            <w:rFonts w:ascii="Times New Roman" w:hAnsi="Times New Roman" w:cs="Times New Roman"/>
            <w:sz w:val="24"/>
          </w:rPr>
          <w:fldChar w:fldCharType="separate"/>
        </w:r>
        <w:r>
          <w:rPr>
            <w:rFonts w:ascii="Times New Roman" w:hAnsi="Times New Roman" w:cs="Times New Roman"/>
            <w:noProof/>
            <w:sz w:val="24"/>
          </w:rPr>
          <w:t>1</w:t>
        </w:r>
        <w:r w:rsidRPr="00F80943">
          <w:rPr>
            <w:rFonts w:ascii="Times New Roman" w:hAnsi="Times New Roman" w:cs="Times New Roman"/>
            <w:sz w:val="24"/>
          </w:rPr>
          <w:fldChar w:fldCharType="end"/>
        </w:r>
      </w:sdtContent>
    </w:sdt>
  </w:p>
  <w:p w:rsidR="00F80943" w:rsidRPr="00F8094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616A2D"/>
    <w:rsid w:val="0002426B"/>
    <w:rsid w:val="000515D5"/>
    <w:rsid w:val="000658D9"/>
    <w:rsid w:val="00302485"/>
    <w:rsid w:val="00334536"/>
    <w:rsid w:val="00346C4C"/>
    <w:rsid w:val="004B15F2"/>
    <w:rsid w:val="004E0D61"/>
    <w:rsid w:val="005723DE"/>
    <w:rsid w:val="00596A39"/>
    <w:rsid w:val="005B331A"/>
    <w:rsid w:val="006121EA"/>
    <w:rsid w:val="00616A2D"/>
    <w:rsid w:val="00653E47"/>
    <w:rsid w:val="00787CC4"/>
    <w:rsid w:val="007B2DDA"/>
    <w:rsid w:val="007C7572"/>
    <w:rsid w:val="007F1DA1"/>
    <w:rsid w:val="008453C0"/>
    <w:rsid w:val="00895AC7"/>
    <w:rsid w:val="00953A8B"/>
    <w:rsid w:val="009771C0"/>
    <w:rsid w:val="00977EF3"/>
    <w:rsid w:val="00996217"/>
    <w:rsid w:val="00A17EC7"/>
    <w:rsid w:val="00AA3229"/>
    <w:rsid w:val="00AC7822"/>
    <w:rsid w:val="00AD2DE1"/>
    <w:rsid w:val="00B4176F"/>
    <w:rsid w:val="00B61652"/>
    <w:rsid w:val="00BD2C5A"/>
    <w:rsid w:val="00D409AA"/>
    <w:rsid w:val="00DE7556"/>
    <w:rsid w:val="00ED7A07"/>
    <w:rsid w:val="00F80943"/>
    <w:rsid w:val="00F953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2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2D"/>
  </w:style>
  <w:style w:type="paragraph" w:styleId="Footer">
    <w:name w:val="footer"/>
    <w:basedOn w:val="Normal"/>
    <w:link w:val="FooterChar"/>
    <w:uiPriority w:val="99"/>
    <w:semiHidden/>
    <w:unhideWhenUsed/>
    <w:rsid w:val="00616A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6A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530</TotalTime>
  <Pages>12</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dcterms:created xsi:type="dcterms:W3CDTF">2020-08-09T08:46:00Z</dcterms:created>
  <dcterms:modified xsi:type="dcterms:W3CDTF">2020-08-09T17:55:00Z</dcterms:modified>
</cp:coreProperties>
</file>